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hd w:val="clear" w:color="auto" w:fill="FFFFFF"/>
        <w:spacing w:beforeAutospacing="0" w:before="0" w:afterAutospacing="0" w:after="0"/>
        <w:jc w:val="center"/>
        <w:rPr>
          <w:rFonts w:ascii="Comic Sans MS" w:hAnsi="Comic Sans MS"/>
          <w:sz w:val="20"/>
          <w:szCs w:val="20"/>
        </w:rPr>
      </w:pPr>
      <w:r>
        <w:rPr>
          <w:rFonts w:ascii="Comic Sans MS" w:hAnsi="Comic Sans MS"/>
          <w:sz w:val="20"/>
          <w:szCs w:val="20"/>
        </w:rPr>
        <w:t>ANNEXE 8 : Exemple d’arrêté DECI</w:t>
      </w:r>
    </w:p>
    <w:p>
      <w:pPr>
        <w:pStyle w:val="Titre1"/>
        <w:shd w:val="clear" w:color="auto" w:fill="FFFFFF"/>
        <w:spacing w:beforeAutospacing="0" w:before="0" w:afterAutospacing="0" w:after="0"/>
        <w:jc w:val="center"/>
        <w:rPr>
          <w:rFonts w:ascii="Comic Sans MS" w:hAnsi="Comic Sans MS"/>
          <w:sz w:val="20"/>
          <w:szCs w:val="20"/>
        </w:rPr>
      </w:pPr>
      <w:r>
        <w:rPr>
          <w:rFonts w:ascii="Comic Sans MS" w:hAnsi="Comic Sans MS"/>
          <w:sz w:val="20"/>
          <w:szCs w:val="20"/>
        </w:rPr>
      </w:r>
    </w:p>
    <w:p>
      <w:pPr>
        <w:pStyle w:val="Titre1"/>
        <w:shd w:val="clear" w:color="auto" w:fill="FFFFFF"/>
        <w:spacing w:beforeAutospacing="0" w:before="0" w:afterAutospacing="0" w:after="0"/>
        <w:jc w:val="center"/>
        <w:rPr>
          <w:rFonts w:ascii="Comic Sans MS" w:hAnsi="Comic Sans MS" w:cs="Arial"/>
          <w:spacing w:val="-15"/>
          <w:sz w:val="20"/>
          <w:szCs w:val="20"/>
        </w:rPr>
      </w:pPr>
      <w:r>
        <w:rPr>
          <w:rFonts w:ascii="Comic Sans MS" w:hAnsi="Comic Sans MS"/>
          <w:sz w:val="20"/>
          <w:szCs w:val="20"/>
        </w:rPr>
        <w:t>ARRÊTE N°………</w:t>
      </w:r>
    </w:p>
    <w:p>
      <w:pPr>
        <w:pStyle w:val="Normal"/>
        <w:spacing w:before="0" w:after="0"/>
        <w:jc w:val="center"/>
        <w:rPr>
          <w:b/>
          <w:b/>
        </w:rPr>
      </w:pPr>
      <w:r>
        <w:rPr>
          <w:b/>
        </w:rPr>
        <w:t>DE DÉFENSE EXTÉRIEURE CONTRE L’INCENDIE</w:t>
      </w:r>
    </w:p>
    <w:p>
      <w:pPr>
        <w:pStyle w:val="Normal"/>
        <w:spacing w:before="0" w:after="0"/>
        <w:jc w:val="center"/>
        <w:rPr>
          <w:b/>
          <w:b/>
          <w:sz w:val="12"/>
        </w:rPr>
      </w:pPr>
      <w:r>
        <w:rPr>
          <w:b/>
          <w:sz w:val="12"/>
        </w:rPr>
      </w:r>
    </w:p>
    <w:p>
      <w:pPr>
        <w:pStyle w:val="Normal"/>
        <w:spacing w:before="0" w:after="0"/>
        <w:ind w:left="-567" w:hanging="0"/>
        <w:jc w:val="both"/>
        <w:rPr/>
      </w:pPr>
      <w:r>
        <w:rPr/>
        <w:t>Le Maire de ………………………………,</w:t>
      </w:r>
    </w:p>
    <w:p>
      <w:pPr>
        <w:pStyle w:val="Normal"/>
        <w:spacing w:before="0" w:after="0"/>
        <w:ind w:left="-567" w:hanging="0"/>
        <w:jc w:val="both"/>
        <w:rPr/>
      </w:pPr>
      <w:r>
        <w:rPr/>
        <w:t>Vu le Code Général des Collectivités Territoriales, notamment l’article R. 2225-4 ;</w:t>
      </w:r>
    </w:p>
    <w:p>
      <w:pPr>
        <w:pStyle w:val="Normal"/>
        <w:spacing w:before="0" w:after="0"/>
        <w:ind w:left="-567" w:right="-567" w:hanging="0"/>
        <w:jc w:val="both"/>
        <w:rPr/>
      </w:pPr>
      <w:r>
        <w:rPr/>
        <w:t>Vu l’arrêté ministériel du 15 décembre 2015 fixant le référentiel national de la défense extérieure contre l’incendie,</w:t>
      </w:r>
    </w:p>
    <w:p>
      <w:pPr>
        <w:pStyle w:val="Normal"/>
        <w:spacing w:before="0" w:after="0"/>
        <w:ind w:left="-567" w:right="-567" w:hanging="0"/>
        <w:jc w:val="both"/>
        <w:rPr/>
      </w:pPr>
      <w:r>
        <w:rPr/>
        <w:t>Vu l’arrêté préfectoral du 10 avril 2017 portant règlement départemental de la défense extérieure contre l’incendie dans les Pyrénées-Orientales ;</w:t>
      </w:r>
    </w:p>
    <w:p>
      <w:pPr>
        <w:pStyle w:val="Normal"/>
        <w:spacing w:before="0" w:after="0"/>
        <w:ind w:left="-567" w:right="-567" w:hanging="0"/>
        <w:jc w:val="both"/>
        <w:rPr>
          <w:sz w:val="12"/>
        </w:rPr>
      </w:pPr>
      <w:r>
        <w:rPr>
          <w:sz w:val="12"/>
        </w:rPr>
      </w:r>
    </w:p>
    <w:p>
      <w:pPr>
        <w:pStyle w:val="Normal"/>
        <w:spacing w:before="0" w:after="0"/>
        <w:ind w:left="-567" w:right="-567" w:hanging="0"/>
        <w:jc w:val="both"/>
        <w:rPr>
          <w:b/>
          <w:b/>
          <w:szCs w:val="20"/>
        </w:rPr>
      </w:pPr>
      <w:r>
        <w:rPr>
          <w:b/>
          <w:szCs w:val="20"/>
        </w:rPr>
        <w:t>ARRÊTE</w:t>
      </w:r>
    </w:p>
    <w:p>
      <w:pPr>
        <w:pStyle w:val="Normal"/>
        <w:spacing w:before="0" w:after="0"/>
        <w:ind w:left="-567" w:right="-567" w:hanging="0"/>
        <w:jc w:val="both"/>
        <w:rPr>
          <w:b/>
          <w:b/>
          <w:sz w:val="12"/>
          <w:szCs w:val="20"/>
        </w:rPr>
      </w:pPr>
      <w:r>
        <w:rPr>
          <w:b/>
          <w:sz w:val="12"/>
          <w:szCs w:val="20"/>
        </w:rPr>
      </w:r>
    </w:p>
    <w:p>
      <w:pPr>
        <w:pStyle w:val="Normal"/>
        <w:spacing w:before="0" w:after="0"/>
        <w:ind w:left="-567" w:right="-567" w:hanging="0"/>
        <w:jc w:val="both"/>
        <w:rPr>
          <w:szCs w:val="20"/>
          <w:u w:val="single"/>
        </w:rPr>
      </w:pPr>
      <w:r>
        <w:rPr>
          <w:b/>
          <w:szCs w:val="20"/>
          <w:u w:val="single"/>
        </w:rPr>
        <w:t>Article 1</w:t>
      </w:r>
      <w:r>
        <w:rPr>
          <w:b/>
          <w:szCs w:val="20"/>
          <w:u w:val="single"/>
          <w:vertAlign w:val="superscript"/>
        </w:rPr>
        <w:t>er</w:t>
      </w:r>
      <w:r>
        <w:rPr>
          <w:b/>
          <w:szCs w:val="20"/>
          <w:u w:val="single"/>
        </w:rPr>
        <w:t> :</w:t>
      </w:r>
      <w:r>
        <w:rPr>
          <w:szCs w:val="20"/>
        </w:rPr>
        <w:t xml:space="preserve"> </w:t>
      </w:r>
      <w:r>
        <w:rPr>
          <w:szCs w:val="20"/>
          <w:u w:val="single"/>
        </w:rPr>
        <w:t>GÉNÉRALITÉS :</w:t>
      </w:r>
    </w:p>
    <w:p>
      <w:pPr>
        <w:pStyle w:val="Normal"/>
        <w:spacing w:before="0" w:after="0"/>
        <w:ind w:left="-567" w:right="-567" w:hanging="0"/>
        <w:jc w:val="both"/>
        <w:rPr/>
      </w:pPr>
      <w:r>
        <w:rPr/>
        <w:t xml:space="preserve">La défense extérieure contre l’incendie (D.E.C.I.) a pour objet d’assurer, en fonction des besoins résultant des risques à prendre en compte, l’alimentation en eau des moyens du Service départemental d’Incendie et de Secours des Pyrénées-Orientales par l’intermédiaire de points d’eau identifiés à cette fin. </w:t>
      </w:r>
      <w:r>
        <w:rPr>
          <w:szCs w:val="20"/>
        </w:rPr>
        <w:t xml:space="preserve">L’accessibilité aux P.E.I. doit être permanente. </w:t>
      </w:r>
      <w:r>
        <w:rPr/>
        <w:t xml:space="preserve">Cet arrêté fixe la liste des points d’eau d’incendie de la commune de ………………… </w:t>
      </w:r>
    </w:p>
    <w:p>
      <w:pPr>
        <w:pStyle w:val="Normal"/>
        <w:spacing w:before="0" w:after="0"/>
        <w:ind w:left="-567" w:right="-567" w:hanging="0"/>
        <w:jc w:val="both"/>
        <w:rPr/>
      </w:pPr>
      <w:r>
        <w:rPr/>
        <w:t xml:space="preserve">Les P.E.I. utilisables sont des ouvrages publics ou privés constitués par : </w:t>
      </w:r>
    </w:p>
    <w:p>
      <w:pPr>
        <w:pStyle w:val="ListParagraph"/>
        <w:numPr>
          <w:ilvl w:val="0"/>
          <w:numId w:val="1"/>
        </w:numPr>
        <w:spacing w:before="0" w:after="0"/>
        <w:ind w:left="-207" w:right="-567" w:hanging="360"/>
        <w:jc w:val="both"/>
        <w:rPr>
          <w:szCs w:val="20"/>
        </w:rPr>
      </w:pPr>
      <w:r>
        <w:rPr>
          <w:szCs w:val="20"/>
        </w:rPr>
        <w:t>Les bouches et poteaux d’incendie alimentés à partir d’un réseau de distribution d’eau (potable ou brute) sous pression ;</w:t>
      </w:r>
    </w:p>
    <w:p>
      <w:pPr>
        <w:pStyle w:val="ListParagraph"/>
        <w:numPr>
          <w:ilvl w:val="0"/>
          <w:numId w:val="1"/>
        </w:numPr>
        <w:spacing w:before="0" w:after="0"/>
        <w:ind w:left="-207" w:right="-567" w:hanging="360"/>
        <w:jc w:val="both"/>
        <w:rPr>
          <w:szCs w:val="20"/>
        </w:rPr>
      </w:pPr>
      <w:r>
        <w:rPr>
          <w:szCs w:val="20"/>
        </w:rPr>
        <w:t>Les points de ressource en eau naturels ou artificiels équipés d’aires d’aspiration ou de raccordement des moyens de lutte contre l’incendie ;</w:t>
      </w:r>
    </w:p>
    <w:p>
      <w:pPr>
        <w:pStyle w:val="ListParagraph"/>
        <w:numPr>
          <w:ilvl w:val="0"/>
          <w:numId w:val="1"/>
        </w:numPr>
        <w:spacing w:before="0" w:after="0"/>
        <w:ind w:left="-207" w:right="-567" w:hanging="360"/>
        <w:jc w:val="both"/>
        <w:rPr>
          <w:szCs w:val="20"/>
        </w:rPr>
      </w:pPr>
      <w:r>
        <w:rPr>
          <w:szCs w:val="20"/>
        </w:rPr>
        <w:t>Tout autre point d’eau conforme aux spécifications fixées par le RDDECI.</w:t>
      </w:r>
    </w:p>
    <w:p>
      <w:pPr>
        <w:pStyle w:val="ListParagraph"/>
        <w:spacing w:before="0" w:after="0"/>
        <w:ind w:left="-207" w:right="-567" w:hanging="0"/>
        <w:jc w:val="both"/>
        <w:rPr>
          <w:sz w:val="14"/>
          <w:szCs w:val="20"/>
        </w:rPr>
      </w:pPr>
      <w:r>
        <w:rPr>
          <w:sz w:val="14"/>
          <w:szCs w:val="20"/>
        </w:rPr>
      </w:r>
    </w:p>
    <w:p>
      <w:pPr>
        <w:pStyle w:val="Normal"/>
        <w:spacing w:before="0" w:after="0"/>
        <w:ind w:left="-567" w:right="-567" w:hanging="0"/>
        <w:jc w:val="both"/>
        <w:rPr>
          <w:szCs w:val="20"/>
          <w:u w:val="single"/>
        </w:rPr>
      </w:pPr>
      <w:r>
        <w:rPr>
          <w:b/>
          <w:szCs w:val="20"/>
          <w:u w:val="single"/>
        </w:rPr>
        <w:t>Article 2 :</w:t>
      </w:r>
      <w:r>
        <w:rPr>
          <w:b/>
          <w:szCs w:val="20"/>
        </w:rPr>
        <w:t xml:space="preserve"> </w:t>
      </w:r>
      <w:r>
        <w:rPr>
          <w:szCs w:val="20"/>
          <w:u w:val="single"/>
        </w:rPr>
        <w:t>LES HYDRANTS :</w:t>
      </w:r>
    </w:p>
    <w:p>
      <w:pPr>
        <w:pStyle w:val="Normal"/>
        <w:spacing w:before="0" w:after="0"/>
        <w:ind w:left="-567" w:right="-567" w:hanging="0"/>
        <w:jc w:val="both"/>
        <w:rPr>
          <w:szCs w:val="20"/>
        </w:rPr>
      </w:pPr>
      <w:r>
        <w:rPr>
          <w:szCs w:val="20"/>
        </w:rPr>
        <w:t>Les hydrants regroupent les poteaux et les bouches d’incendie dont la liste est éditée ci-dessous sont de statut public ou privé. Ils appartiennent à la commune et sont alimentés par le réservoir (château d’eau) qui dispose d’une réserve incendie de ……………… m</w:t>
      </w:r>
      <w:r>
        <w:rPr>
          <w:szCs w:val="20"/>
          <w:vertAlign w:val="superscript"/>
        </w:rPr>
        <w:t>3</w:t>
      </w:r>
      <w:r>
        <w:rPr>
          <w:szCs w:val="20"/>
        </w:rPr>
        <w:t xml:space="preserve">. </w:t>
      </w:r>
    </w:p>
    <w:p>
      <w:pPr>
        <w:pStyle w:val="Normal"/>
        <w:spacing w:before="0" w:after="0"/>
        <w:ind w:left="-567" w:right="-567" w:hanging="0"/>
        <w:rPr>
          <w:szCs w:val="20"/>
        </w:rPr>
      </w:pPr>
      <w:r>
        <w:rPr>
          <w:szCs w:val="20"/>
        </w:rPr>
        <w:drawing>
          <wp:anchor behindDoc="1" distT="0" distB="0" distL="114300" distR="114300" simplePos="0" locked="0" layoutInCell="1" allowOverlap="1" relativeHeight="3">
            <wp:simplePos x="0" y="0"/>
            <wp:positionH relativeFrom="column">
              <wp:posOffset>-509270</wp:posOffset>
            </wp:positionH>
            <wp:positionV relativeFrom="paragraph">
              <wp:posOffset>142875</wp:posOffset>
            </wp:positionV>
            <wp:extent cx="6838950" cy="81915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rcRect l="0" t="0" r="0" b="13193"/>
                    <a:stretch>
                      <a:fillRect/>
                    </a:stretch>
                  </pic:blipFill>
                  <pic:spPr bwMode="auto">
                    <a:xfrm>
                      <a:off x="0" y="0"/>
                      <a:ext cx="6838950" cy="819150"/>
                    </a:xfrm>
                    <a:prstGeom prst="rect">
                      <a:avLst/>
                    </a:prstGeom>
                  </pic:spPr>
                </pic:pic>
              </a:graphicData>
            </a:graphic>
          </wp:anchor>
        </w:drawing>
      </w:r>
    </w:p>
    <w:p>
      <w:pPr>
        <w:pStyle w:val="Normal"/>
        <w:spacing w:before="0" w:after="0"/>
        <w:ind w:left="-567" w:right="-567" w:hanging="0"/>
        <w:jc w:val="center"/>
        <w:rPr>
          <w:lang w:eastAsia="fr-FR"/>
        </w:rPr>
      </w:pPr>
      <w:r>
        <w:rPr>
          <w:lang w:eastAsia="fr-FR"/>
        </w:rPr>
      </w:r>
    </w:p>
    <w:p>
      <w:pPr>
        <w:pStyle w:val="Normal"/>
        <w:spacing w:before="0" w:after="0"/>
        <w:ind w:left="-567" w:right="-567" w:hanging="0"/>
        <w:jc w:val="center"/>
        <w:rPr>
          <w:lang w:eastAsia="fr-FR"/>
        </w:rPr>
      </w:pPr>
      <w:r>
        <w:rPr>
          <w:lang w:eastAsia="fr-FR"/>
        </w:rPr>
      </w:r>
    </w:p>
    <w:p>
      <w:pPr>
        <w:pStyle w:val="Normal"/>
        <w:spacing w:before="0" w:after="0"/>
        <w:ind w:left="-567" w:right="-567" w:hanging="0"/>
        <w:jc w:val="center"/>
        <w:rPr>
          <w:lang w:eastAsia="fr-FR"/>
        </w:rPr>
      </w:pPr>
      <w:r>
        <w:rPr>
          <w:lang w:eastAsia="fr-FR"/>
        </w:rPr>
      </w:r>
    </w:p>
    <w:p>
      <w:pPr>
        <w:pStyle w:val="Normal"/>
        <w:spacing w:before="0" w:after="0"/>
        <w:ind w:left="-567" w:right="-567" w:hanging="0"/>
        <w:jc w:val="center"/>
        <w:rPr>
          <w:szCs w:val="20"/>
        </w:rPr>
      </w:pPr>
      <w:r>
        <w:rPr>
          <w:szCs w:val="20"/>
        </w:rPr>
      </w:r>
    </w:p>
    <w:p>
      <w:pPr>
        <w:pStyle w:val="Normal"/>
        <w:spacing w:before="0" w:after="0"/>
        <w:ind w:right="-567" w:hanging="0"/>
        <w:rPr>
          <w:szCs w:val="20"/>
        </w:rPr>
      </w:pPr>
      <w:r>
        <w:rPr>
          <w:szCs w:val="20"/>
        </w:rPr>
      </w:r>
    </w:p>
    <w:p>
      <w:pPr>
        <w:pStyle w:val="Normal"/>
        <w:spacing w:before="0" w:after="0"/>
        <w:ind w:left="-567" w:right="-567" w:hanging="0"/>
        <w:rPr>
          <w:szCs w:val="20"/>
        </w:rPr>
      </w:pPr>
      <w:r>
        <w:rPr>
          <w:b/>
          <w:szCs w:val="20"/>
          <w:u w:val="single"/>
        </w:rPr>
        <w:t>Article 3 (optionnel):</w:t>
      </w:r>
      <w:r>
        <w:rPr>
          <w:szCs w:val="20"/>
        </w:rPr>
        <w:t xml:space="preserve"> </w:t>
      </w:r>
      <w:r>
        <w:rPr>
          <w:szCs w:val="20"/>
          <w:u w:val="single"/>
        </w:rPr>
        <w:t>LES POINTS D’EAU NATURELS OU ARTIFICIELS :</w:t>
      </w:r>
      <w:r>
        <w:rPr>
          <w:szCs w:val="20"/>
        </w:rPr>
        <w:t xml:space="preserve"> </w:t>
      </w:r>
    </w:p>
    <w:p>
      <w:pPr>
        <w:pStyle w:val="Normal"/>
        <w:spacing w:before="0" w:after="0"/>
        <w:ind w:left="-567" w:right="-567" w:hanging="0"/>
        <w:jc w:val="both"/>
        <w:rPr>
          <w:szCs w:val="20"/>
        </w:rPr>
      </w:pPr>
      <w:r>
        <w:rPr>
          <w:szCs w:val="20"/>
        </w:rPr>
        <w:t>Ces derniers dont la liste est éditée ci-dessous sont de statut public ou privés.</w:t>
      </w:r>
    </w:p>
    <w:p>
      <w:pPr>
        <w:pStyle w:val="Normal"/>
        <w:spacing w:before="0" w:after="0"/>
        <w:ind w:left="-567" w:right="-567" w:hanging="0"/>
        <w:rPr>
          <w:szCs w:val="20"/>
        </w:rPr>
      </w:pPr>
      <w:r>
        <w:rPr>
          <w:szCs w:val="20"/>
        </w:rPr>
        <w:drawing>
          <wp:anchor behindDoc="1" distT="0" distB="9525" distL="114300" distR="114300" simplePos="0" locked="0" layoutInCell="1" allowOverlap="1" relativeHeight="2">
            <wp:simplePos x="0" y="0"/>
            <wp:positionH relativeFrom="column">
              <wp:posOffset>-566420</wp:posOffset>
            </wp:positionH>
            <wp:positionV relativeFrom="paragraph">
              <wp:posOffset>95885</wp:posOffset>
            </wp:positionV>
            <wp:extent cx="6896100" cy="790575"/>
            <wp:effectExtent l="0" t="0" r="0" b="0"/>
            <wp:wrapNone/>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3"/>
                    <a:stretch>
                      <a:fillRect/>
                    </a:stretch>
                  </pic:blipFill>
                  <pic:spPr bwMode="auto">
                    <a:xfrm>
                      <a:off x="0" y="0"/>
                      <a:ext cx="6896100" cy="790575"/>
                    </a:xfrm>
                    <a:prstGeom prst="rect">
                      <a:avLst/>
                    </a:prstGeom>
                  </pic:spPr>
                </pic:pic>
              </a:graphicData>
            </a:graphic>
          </wp:anchor>
        </w:drawing>
      </w:r>
    </w:p>
    <w:p>
      <w:pPr>
        <w:pStyle w:val="Normal"/>
        <w:spacing w:before="0" w:after="0"/>
        <w:ind w:left="-567" w:right="-567" w:hanging="0"/>
        <w:rPr>
          <w:szCs w:val="20"/>
        </w:rPr>
      </w:pPr>
      <w:r>
        <w:rPr>
          <w:szCs w:val="20"/>
        </w:rPr>
      </w:r>
    </w:p>
    <w:p>
      <w:pPr>
        <w:pStyle w:val="Normal"/>
        <w:spacing w:before="0" w:after="0"/>
        <w:ind w:right="-567" w:hanging="0"/>
        <w:rPr>
          <w:szCs w:val="20"/>
        </w:rPr>
      </w:pPr>
      <w:r>
        <w:rPr>
          <w:szCs w:val="20"/>
        </w:rPr>
      </w:r>
    </w:p>
    <w:p>
      <w:pPr>
        <w:pStyle w:val="Normal"/>
        <w:spacing w:before="0" w:after="0"/>
        <w:ind w:right="-567" w:hanging="0"/>
        <w:rPr>
          <w:szCs w:val="20"/>
        </w:rPr>
      </w:pPr>
      <w:r>
        <w:rPr>
          <w:szCs w:val="20"/>
        </w:rPr>
      </w:r>
    </w:p>
    <w:p>
      <w:pPr>
        <w:pStyle w:val="Normal"/>
        <w:spacing w:before="0" w:after="0"/>
        <w:ind w:left="-567" w:right="-567" w:hanging="0"/>
        <w:jc w:val="both"/>
        <w:rPr>
          <w:sz w:val="16"/>
          <w:szCs w:val="20"/>
        </w:rPr>
      </w:pPr>
      <w:r>
        <w:rPr>
          <w:sz w:val="16"/>
          <w:szCs w:val="20"/>
        </w:rPr>
      </w:r>
    </w:p>
    <w:p>
      <w:pPr>
        <w:pStyle w:val="Normal"/>
        <w:spacing w:before="0" w:after="0"/>
        <w:ind w:left="-567" w:right="-567" w:hanging="0"/>
        <w:jc w:val="both"/>
        <w:rPr>
          <w:szCs w:val="20"/>
        </w:rPr>
      </w:pPr>
      <w:r>
        <w:rPr>
          <w:szCs w:val="20"/>
        </w:rPr>
        <w:t xml:space="preserve">L’actualisation de l’inventaire des points d’eau incendie du présent arrêté fait partie intégrante des processus d’échanges d’informations entre le SDIS des Pyrénées-Orientales et la commune de …………………… </w:t>
      </w:r>
    </w:p>
    <w:p>
      <w:pPr>
        <w:pStyle w:val="Normal"/>
        <w:spacing w:before="0" w:after="0"/>
        <w:ind w:left="-567" w:right="-567" w:hanging="0"/>
        <w:jc w:val="both"/>
        <w:rPr>
          <w:sz w:val="16"/>
          <w:szCs w:val="20"/>
        </w:rPr>
      </w:pPr>
      <w:r>
        <w:rPr>
          <w:sz w:val="16"/>
          <w:szCs w:val="20"/>
        </w:rPr>
      </w:r>
    </w:p>
    <w:p>
      <w:pPr>
        <w:pStyle w:val="Normal"/>
        <w:spacing w:before="0" w:after="0"/>
        <w:ind w:left="-567" w:right="-567" w:hanging="0"/>
        <w:jc w:val="both"/>
        <w:rPr>
          <w:szCs w:val="20"/>
          <w:u w:val="single"/>
        </w:rPr>
      </w:pPr>
      <w:r>
        <w:rPr>
          <w:b/>
          <w:szCs w:val="20"/>
          <w:u w:val="single"/>
        </w:rPr>
        <w:t>Article 4 :</w:t>
      </w:r>
      <w:r>
        <w:rPr>
          <w:b/>
          <w:szCs w:val="20"/>
        </w:rPr>
        <w:t xml:space="preserve"> </w:t>
      </w:r>
      <w:r>
        <w:rPr>
          <w:szCs w:val="20"/>
          <w:u w:val="single"/>
        </w:rPr>
        <w:t>ÉXÉCUTION DE L’ARRÊTE :</w:t>
      </w:r>
    </w:p>
    <w:p>
      <w:pPr>
        <w:pStyle w:val="Normal"/>
        <w:spacing w:before="0" w:after="0"/>
        <w:ind w:left="-567" w:right="-567" w:hanging="0"/>
        <w:jc w:val="both"/>
        <w:rPr>
          <w:szCs w:val="20"/>
        </w:rPr>
      </w:pPr>
      <w:r>
        <w:rPr>
          <w:szCs w:val="20"/>
        </w:rPr>
        <w:t xml:space="preserve">Le maire de la commune de ……………………, le directeur général des services, chacun en ce qui le concerne, est responsable de l’exécution du présent arrêté qui sera transmis au Préfet des Pyrénées-Orientales.  </w:t>
      </w:r>
    </w:p>
    <w:p>
      <w:pPr>
        <w:pStyle w:val="Normal"/>
        <w:spacing w:before="0" w:after="0"/>
        <w:ind w:left="-567" w:right="-567" w:hanging="0"/>
        <w:jc w:val="both"/>
        <w:rPr>
          <w:sz w:val="16"/>
          <w:szCs w:val="20"/>
        </w:rPr>
      </w:pPr>
      <w:r>
        <w:rPr>
          <w:sz w:val="16"/>
          <w:szCs w:val="20"/>
        </w:rPr>
      </w:r>
    </w:p>
    <w:p>
      <w:pPr>
        <w:pStyle w:val="Normal"/>
        <w:spacing w:before="0" w:after="0"/>
        <w:ind w:left="-567" w:right="-567" w:hanging="0"/>
        <w:jc w:val="center"/>
        <w:rPr>
          <w:szCs w:val="20"/>
        </w:rPr>
      </w:pPr>
      <w:r>
        <w:rPr>
          <w:szCs w:val="20"/>
        </w:rPr>
        <w:t>Fait à …………………………, le ……………………………………</w:t>
      </w:r>
    </w:p>
    <w:p>
      <w:pPr>
        <w:pStyle w:val="Normal"/>
        <w:spacing w:before="0" w:after="0"/>
        <w:ind w:left="-567" w:right="-567" w:hanging="0"/>
        <w:jc w:val="center"/>
        <w:rPr/>
      </w:pPr>
      <w:r>
        <w:rPr>
          <w:szCs w:val="20"/>
        </w:rPr>
        <w:t>Le Maire,</w:t>
      </w:r>
    </w:p>
    <w:sectPr>
      <w:type w:val="nextPage"/>
      <w:pgSz w:w="11906" w:h="16838"/>
      <w:pgMar w:left="1417" w:right="1417" w:header="0" w:top="426" w:footer="0" w:bottom="56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1"/>
    <w:family w:val="script"/>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207" w:hanging="360"/>
      </w:pPr>
      <w:rPr>
        <w:rFonts w:ascii="Comic Sans MS" w:hAnsi="Comic Sans MS" w:cs="Comic Sans MS" w:hint="default"/>
        <w:rFonts w:cs=""/>
      </w:rPr>
    </w:lvl>
    <w:lvl w:ilvl="1">
      <w:start w:val="1"/>
      <w:numFmt w:val="bullet"/>
      <w:lvlText w:val="o"/>
      <w:lvlJc w:val="left"/>
      <w:pPr>
        <w:ind w:left="513" w:hanging="360"/>
      </w:pPr>
      <w:rPr>
        <w:rFonts w:ascii="Courier New" w:hAnsi="Courier New" w:cs="Courier New" w:hint="default"/>
        <w:rFonts w:cs="Courier New"/>
      </w:rPr>
    </w:lvl>
    <w:lvl w:ilvl="2">
      <w:start w:val="1"/>
      <w:numFmt w:val="bullet"/>
      <w:lvlText w:val=""/>
      <w:lvlJc w:val="left"/>
      <w:pPr>
        <w:ind w:left="1233" w:hanging="360"/>
      </w:pPr>
      <w:rPr>
        <w:rFonts w:ascii="Wingdings" w:hAnsi="Wingdings" w:cs="Wingdings" w:hint="default"/>
      </w:rPr>
    </w:lvl>
    <w:lvl w:ilvl="3">
      <w:start w:val="1"/>
      <w:numFmt w:val="bullet"/>
      <w:lvlText w:val=""/>
      <w:lvlJc w:val="left"/>
      <w:pPr>
        <w:ind w:left="1953" w:hanging="360"/>
      </w:pPr>
      <w:rPr>
        <w:rFonts w:ascii="Symbol" w:hAnsi="Symbol" w:cs="Symbol" w:hint="default"/>
      </w:rPr>
    </w:lvl>
    <w:lvl w:ilvl="4">
      <w:start w:val="1"/>
      <w:numFmt w:val="bullet"/>
      <w:lvlText w:val="o"/>
      <w:lvlJc w:val="left"/>
      <w:pPr>
        <w:ind w:left="2673" w:hanging="360"/>
      </w:pPr>
      <w:rPr>
        <w:rFonts w:ascii="Courier New" w:hAnsi="Courier New" w:cs="Courier New" w:hint="default"/>
        <w:rFonts w:cs="Courier New"/>
      </w:rPr>
    </w:lvl>
    <w:lvl w:ilvl="5">
      <w:start w:val="1"/>
      <w:numFmt w:val="bullet"/>
      <w:lvlText w:val=""/>
      <w:lvlJc w:val="left"/>
      <w:pPr>
        <w:ind w:left="3393" w:hanging="360"/>
      </w:pPr>
      <w:rPr>
        <w:rFonts w:ascii="Wingdings" w:hAnsi="Wingdings" w:cs="Wingdings" w:hint="default"/>
      </w:rPr>
    </w:lvl>
    <w:lvl w:ilvl="6">
      <w:start w:val="1"/>
      <w:numFmt w:val="bullet"/>
      <w:lvlText w:val=""/>
      <w:lvlJc w:val="left"/>
      <w:pPr>
        <w:ind w:left="4113" w:hanging="360"/>
      </w:pPr>
      <w:rPr>
        <w:rFonts w:ascii="Symbol" w:hAnsi="Symbol" w:cs="Symbol" w:hint="default"/>
      </w:rPr>
    </w:lvl>
    <w:lvl w:ilvl="7">
      <w:start w:val="1"/>
      <w:numFmt w:val="bullet"/>
      <w:lvlText w:val="o"/>
      <w:lvlJc w:val="left"/>
      <w:pPr>
        <w:ind w:left="4833" w:hanging="360"/>
      </w:pPr>
      <w:rPr>
        <w:rFonts w:ascii="Courier New" w:hAnsi="Courier New" w:cs="Courier New" w:hint="default"/>
        <w:rFonts w:cs="Courier New"/>
      </w:rPr>
    </w:lvl>
    <w:lvl w:ilvl="8">
      <w:start w:val="1"/>
      <w:numFmt w:val="bullet"/>
      <w:lvlText w:val=""/>
      <w:lvlJc w:val="left"/>
      <w:pPr>
        <w:ind w:left="5553"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Calibri" w:cs="" w:cstheme="minorBidi" w:eastAsia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omic Sans MS" w:hAnsi="Comic Sans MS" w:eastAsia="Calibri" w:cs="" w:cstheme="minorBidi" w:eastAsiaTheme="minorHAnsi"/>
      <w:color w:val="auto"/>
      <w:sz w:val="20"/>
      <w:szCs w:val="22"/>
      <w:lang w:val="fr-FR" w:eastAsia="en-US" w:bidi="ar-SA"/>
    </w:rPr>
  </w:style>
  <w:style w:type="paragraph" w:styleId="Titre1">
    <w:name w:val="Heading 1"/>
    <w:basedOn w:val="Normal"/>
    <w:link w:val="Titre1Car"/>
    <w:uiPriority w:val="9"/>
    <w:qFormat/>
    <w:rsid w:val="006d7159"/>
    <w:pPr>
      <w:spacing w:lineRule="auto" w:line="240"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6d7159"/>
    <w:rPr>
      <w:rFonts w:ascii="Times New Roman" w:hAnsi="Times New Roman" w:eastAsia="Times New Roman" w:cs="Times New Roman"/>
      <w:b/>
      <w:bCs/>
      <w:sz w:val="48"/>
      <w:szCs w:val="48"/>
      <w:lang w:eastAsia="fr-FR"/>
    </w:rPr>
  </w:style>
  <w:style w:type="character" w:styleId="TextedebullesCar" w:customStyle="1">
    <w:name w:val="Texte de bulles Car"/>
    <w:basedOn w:val="DefaultParagraphFont"/>
    <w:link w:val="Textedebulles"/>
    <w:uiPriority w:val="99"/>
    <w:semiHidden/>
    <w:qFormat/>
    <w:rsid w:val="002e167c"/>
    <w:rPr>
      <w:rFonts w:ascii="Tahoma" w:hAnsi="Tahoma" w:cs="Tahoma"/>
      <w:sz w:val="16"/>
      <w:szCs w:val="16"/>
    </w:rPr>
  </w:style>
  <w:style w:type="character" w:styleId="LienInternet">
    <w:name w:val="Lien Internet"/>
    <w:basedOn w:val="DefaultParagraphFont"/>
    <w:uiPriority w:val="99"/>
    <w:unhideWhenUsed/>
    <w:rsid w:val="009a2a1a"/>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2e167c"/>
    <w:pPr>
      <w:spacing w:lineRule="auto" w:line="240" w:before="0" w:after="0"/>
    </w:pPr>
    <w:rPr>
      <w:rFonts w:ascii="Tahoma" w:hAnsi="Tahoma" w:cs="Tahoma"/>
      <w:sz w:val="16"/>
      <w:szCs w:val="16"/>
    </w:rPr>
  </w:style>
  <w:style w:type="paragraph" w:styleId="ListParagraph">
    <w:name w:val="List Paragraph"/>
    <w:basedOn w:val="Normal"/>
    <w:uiPriority w:val="34"/>
    <w:qFormat/>
    <w:rsid w:val="00813e4a"/>
    <w:pPr>
      <w:spacing w:before="0" w:after="200"/>
      <w:ind w:left="720" w:hanging="0"/>
      <w:contextualSpacing/>
    </w:pPr>
    <w:rPr/>
  </w:style>
  <w:style w:type="paragraph" w:styleId="NormalWeb">
    <w:name w:val="Normal (Web)"/>
    <w:basedOn w:val="Normal"/>
    <w:uiPriority w:val="99"/>
    <w:semiHidden/>
    <w:unhideWhenUsed/>
    <w:qFormat/>
    <w:rsid w:val="00641ad7"/>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Application>LibreOffice/5.2.7.2$Windows_X86_64 LibreOffice_project/2b7f1e640c46ceb28adf43ee075a6e8b8439ed10</Application>
  <Pages>1</Pages>
  <Words>348</Words>
  <Characters>1930</Characters>
  <CharactersWithSpaces>2259</CharactersWithSpaces>
  <Paragraphs>23</Paragraphs>
  <Company>SDIS66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2018-08-20T08:15:00Z</dcterms:created>
  <dc:creator>26213</dc:creator>
  <dc:description/>
  <dc:language>fr-FR</dc:language>
  <cp:lastModifiedBy>Emmanuelle BECEIRO</cp:lastModifiedBy>
  <cp:lastPrinted>2018-08-29T09:13:00Z</cp:lastPrinted>
  <dcterms:modified xsi:type="dcterms:W3CDTF">2018-09-11T15:28:00Z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SDIS66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